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0F88" w14:textId="244E7311" w:rsidR="00110EB8" w:rsidRPr="00A120AD" w:rsidRDefault="0021375C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URB/20962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lucarne en façade avant et l'annexe en façade arrière, étendre la lucarne en façade avant, ajouter une deuxième lucarne en façade arrière et créer 3 logements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Poste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56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Mohamed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Yamani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Poste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C3A0F8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7C3A0F8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7C3A0F8B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C3A0F8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C3A0F8D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7C3A0F8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C3A0F8F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C3A0F95" w14:textId="02FDBD09" w:rsidR="00110EB8" w:rsidRPr="00A120AD" w:rsidRDefault="0021375C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  <w:r>
        <w:rPr>
          <w:rFonts w:ascii="Arial" w:hAnsi="Arial" w:cs="Arial"/>
          <w:b/>
          <w:lang w:val="fr-BE"/>
        </w:rPr>
        <w:t>Vu le retard pris par la Commission, le point est reporté au 04/04/2025</w:t>
      </w: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0F9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C3A0F9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0F9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C3A0F9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0F9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375C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2996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0F8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2025-03-25T14:21:00Z</cp:lastPrinted>
  <dcterms:created xsi:type="dcterms:W3CDTF">2025-03-26T10:07:00Z</dcterms:created>
  <dcterms:modified xsi:type="dcterms:W3CDTF">2025-03-26T10:07:00Z</dcterms:modified>
</cp:coreProperties>
</file>