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48197" w14:textId="7842EE8B" w:rsidR="00110EB8" w:rsidRPr="00CA01BD" w:rsidRDefault="00CA01BD" w:rsidP="00CA01BD">
      <w:pPr>
        <w:tabs>
          <w:tab w:val="left" w:pos="426"/>
        </w:tabs>
        <w:spacing w:after="0" w:line="240" w:lineRule="auto"/>
        <w:ind w:left="426"/>
        <w:rPr>
          <w:rFonts w:ascii="Arial" w:hAnsi="Arial" w:cs="Arial"/>
          <w:b/>
          <w:lang w:val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URB/20985 et PE/1183/1B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 xml:space="preserve">Installer un système de géothermie ouverte pour un immeuble de </w:t>
      </w:r>
      <w:r w:rsidR="000210C9" w:rsidRPr="00CA01BD">
        <w:rPr>
          <w:rFonts w:ascii="Arial" w:hAnsi="Arial" w:cs="Arial"/>
          <w:b/>
          <w:bCs/>
          <w:noProof/>
          <w:lang w:val="fr-BE" w:eastAsia="fr-BE"/>
        </w:rPr>
        <w:t>bureaux</w:t>
      </w:r>
      <w:r w:rsidRPr="00CA01BD">
        <w:rPr>
          <w:rFonts w:ascii="Arial" w:hAnsi="Arial" w:cs="Arial"/>
          <w:b/>
          <w:bCs/>
          <w:lang w:val="fr-BE" w:eastAsia="fr-BE"/>
        </w:rPr>
        <w:t xml:space="preserve"> </w:t>
      </w:r>
      <w:r w:rsidRPr="00CA01BD">
        <w:rPr>
          <w:rFonts w:ascii="Arial" w:hAnsi="Arial" w:cs="Arial"/>
          <w:b/>
          <w:noProof/>
          <w:lang w:val="fr-BE"/>
        </w:rPr>
        <w:t>et exploitation d'un système géothermie ouvert et modification des pompes à chaleur et de la gestion des eaux pluviales (suppression d'un bassin d'orage et ajout de toitures stockantes) - Permis extensif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Boulevard du Roi Albert II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5</w:t>
      </w:r>
      <w:r>
        <w:rPr>
          <w:rFonts w:ascii="Arial" w:hAnsi="Arial" w:cs="Arial"/>
          <w:b/>
          <w:bCs/>
          <w:lang w:val="fr-BE" w:eastAsia="fr-BE"/>
        </w:rPr>
        <w:t xml:space="preserve"> /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du Marché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19</w:t>
      </w:r>
      <w:r>
        <w:rPr>
          <w:rFonts w:ascii="Arial" w:hAnsi="Arial" w:cs="Arial"/>
          <w:b/>
          <w:bCs/>
          <w:lang w:val="fr-BE" w:eastAsia="fr-BE"/>
        </w:rPr>
        <w:t xml:space="preserve"> /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du Marché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31B</w:t>
      </w:r>
      <w:r>
        <w:rPr>
          <w:rFonts w:ascii="Arial" w:hAnsi="Arial" w:cs="Arial"/>
          <w:b/>
          <w:bCs/>
          <w:lang w:val="fr-BE" w:eastAsia="fr-BE"/>
        </w:rPr>
        <w:t>;</w:t>
      </w:r>
      <w:r>
        <w:rPr>
          <w:rFonts w:ascii="Arial" w:hAnsi="Arial" w:cs="Arial"/>
          <w:b/>
          <w:bCs/>
          <w:lang w:val="fr-BE" w:eastAsia="fr-BE"/>
        </w:rPr>
        <w:br/>
        <w:t xml:space="preserve">introduite par Monsieur </w:t>
      </w:r>
      <w:r w:rsidR="000210C9">
        <w:rPr>
          <w:rFonts w:ascii="Arial" w:hAnsi="Arial" w:cs="Arial"/>
          <w:b/>
          <w:bCs/>
          <w:noProof/>
          <w:lang w:val="fr-BE" w:eastAsia="fr-BE"/>
        </w:rPr>
        <w:t>Nicolas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BILLEN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 xml:space="preserve">- </w:t>
      </w:r>
      <w:r w:rsidR="000210C9">
        <w:rPr>
          <w:rFonts w:ascii="Arial" w:hAnsi="Arial" w:cs="Arial"/>
          <w:b/>
          <w:bCs/>
          <w:noProof/>
          <w:lang w:val="fr-BE" w:eastAsia="fr-BE"/>
        </w:rPr>
        <w:t>NOR5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Mechelsesteenweg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176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>à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2018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Antwerpen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2334819A" w14:textId="792796BF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2334819B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2334819C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BE" w:eastAsia="fr-BE"/>
        </w:rPr>
      </w:pPr>
    </w:p>
    <w:p w14:paraId="2334819D" w14:textId="77777777" w:rsidR="00110EB8" w:rsidRPr="00A120AD" w:rsidRDefault="00110EB8" w:rsidP="00434315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2334819E" w14:textId="77777777" w:rsidR="00ED0787" w:rsidRPr="00CA01BD" w:rsidRDefault="006B3EB9" w:rsidP="00434315">
      <w:pPr>
        <w:spacing w:after="0" w:line="240" w:lineRule="auto"/>
        <w:rPr>
          <w:lang w:val="fr-BE"/>
        </w:rPr>
      </w:pPr>
      <w:r w:rsidRPr="00CA01BD">
        <w:rPr>
          <w:lang w:val="fr-BE"/>
        </w:rPr>
        <w:t xml:space="preserve">Vu la demande de  Nicolas BILLEN NOR5 ,  </w:t>
      </w:r>
      <w:proofErr w:type="spellStart"/>
      <w:r w:rsidRPr="00CA01BD">
        <w:rPr>
          <w:lang w:val="fr-BE"/>
        </w:rPr>
        <w:t>Mechelsesteenweg</w:t>
      </w:r>
      <w:proofErr w:type="spellEnd"/>
      <w:r w:rsidRPr="00CA01BD">
        <w:rPr>
          <w:lang w:val="fr-BE"/>
        </w:rPr>
        <w:t xml:space="preserve"> 176  à 2018 Antwerpen visant à Installer  et exploiter un système de géothermie ouverte pour un immeuble de bureaux, situé   Boulevard du Roi Albert II 5   Rue du Marché 19   Rue du Marché 31B   ;</w:t>
      </w:r>
    </w:p>
    <w:p w14:paraId="2334819F" w14:textId="77777777" w:rsidR="00ED0787" w:rsidRPr="00CA01BD" w:rsidRDefault="006B3EB9" w:rsidP="00434315">
      <w:pPr>
        <w:spacing w:after="0" w:line="240" w:lineRule="auto"/>
        <w:rPr>
          <w:lang w:val="fr-BE"/>
        </w:rPr>
      </w:pPr>
      <w:r w:rsidRPr="00CA01BD">
        <w:rPr>
          <w:lang w:val="fr-BE"/>
        </w:rPr>
        <w:t>C</w:t>
      </w:r>
      <w:r w:rsidRPr="00CA01BD">
        <w:rPr>
          <w:lang w:val="fr-BE"/>
        </w:rPr>
        <w:t>onsidérant que le bien concerné se trouve en espaces structurants, zones administratives au plan régional d’affectation du sol arrêté par arrêté du gouvernement du 3 mai 2001 ;</w:t>
      </w:r>
    </w:p>
    <w:p w14:paraId="233481A0" w14:textId="77777777" w:rsidR="00ED0787" w:rsidRPr="00CA01BD" w:rsidRDefault="006B3EB9" w:rsidP="00434315">
      <w:pPr>
        <w:spacing w:after="0" w:line="240" w:lineRule="auto"/>
        <w:rPr>
          <w:lang w:val="fr-BE"/>
        </w:rPr>
      </w:pPr>
      <w:r w:rsidRPr="00CA01BD">
        <w:rPr>
          <w:lang w:val="fr-BE"/>
        </w:rPr>
        <w:t>Considérant que la demande se situe en zone de bureaux et services autorisés au</w:t>
      </w:r>
      <w:r w:rsidRPr="00CA01BD">
        <w:rPr>
          <w:lang w:val="fr-BE"/>
        </w:rPr>
        <w:t xml:space="preserve"> PPAS n° 26 </w:t>
      </w:r>
      <w:r w:rsidRPr="00CA01BD">
        <w:rPr>
          <w:b/>
          <w:lang w:val="fr-BE"/>
        </w:rPr>
        <w:t xml:space="preserve">QUARTIER DE LA GARE DU NORD (ilots 6,7 et 8) </w:t>
      </w:r>
      <w:r w:rsidRPr="00CA01BD">
        <w:rPr>
          <w:lang w:val="fr-BE"/>
        </w:rPr>
        <w:t xml:space="preserve">Date arrêté : </w:t>
      </w:r>
      <w:r w:rsidRPr="00CA01BD">
        <w:rPr>
          <w:b/>
          <w:lang w:val="fr-BE"/>
        </w:rPr>
        <w:t>1990-04-19</w:t>
      </w:r>
      <w:r w:rsidRPr="00CA01BD">
        <w:rPr>
          <w:lang w:val="fr-BE"/>
        </w:rPr>
        <w:t xml:space="preserve"> ;</w:t>
      </w:r>
    </w:p>
    <w:p w14:paraId="233481A1" w14:textId="77777777" w:rsidR="00ED0787" w:rsidRPr="00CA01BD" w:rsidRDefault="006B3EB9" w:rsidP="00434315">
      <w:pPr>
        <w:spacing w:after="0" w:line="240" w:lineRule="auto"/>
        <w:rPr>
          <w:lang w:val="fr-BE"/>
        </w:rPr>
      </w:pPr>
      <w:r w:rsidRPr="00CA01BD">
        <w:rPr>
          <w:lang w:val="fr-BE"/>
        </w:rPr>
        <w:t>Considérant que la demande tombe sous l’ application de :</w:t>
      </w:r>
    </w:p>
    <w:p w14:paraId="233481A2" w14:textId="77777777" w:rsidR="00ED0787" w:rsidRPr="00CA01BD" w:rsidRDefault="006B3EB9" w:rsidP="00434315">
      <w:pPr>
        <w:numPr>
          <w:ilvl w:val="0"/>
          <w:numId w:val="3"/>
        </w:numPr>
        <w:spacing w:after="0" w:line="240" w:lineRule="auto"/>
        <w:rPr>
          <w:lang w:val="fr-BE"/>
        </w:rPr>
      </w:pPr>
      <w:r w:rsidRPr="00CA01BD">
        <w:rPr>
          <w:lang w:val="fr-BE"/>
        </w:rPr>
        <w:t xml:space="preserve">l'art. 175/15 du COBAT: demande soumise à rapport d'incidence (forage en profondeur, notamment les forages pour l'approvisionnement en eau) </w:t>
      </w:r>
    </w:p>
    <w:p w14:paraId="233481A3" w14:textId="77777777" w:rsidR="00ED0787" w:rsidRPr="00CA01BD" w:rsidRDefault="006B3EB9" w:rsidP="00434315">
      <w:pPr>
        <w:numPr>
          <w:ilvl w:val="0"/>
          <w:numId w:val="3"/>
        </w:numPr>
        <w:spacing w:after="0" w:line="240" w:lineRule="auto"/>
        <w:rPr>
          <w:lang w:val="fr-BE"/>
        </w:rPr>
      </w:pPr>
      <w:r w:rsidRPr="00CA01BD">
        <w:rPr>
          <w:lang w:val="fr-BE"/>
        </w:rPr>
        <w:t>l’art 176/1 MPP dans le cadre d'un projet mixte qui requiert à la fois un permis d’environnement de classe 1B ou 1A</w:t>
      </w:r>
      <w:r w:rsidRPr="00CA01BD">
        <w:rPr>
          <w:lang w:val="fr-BE"/>
        </w:rPr>
        <w:t xml:space="preserve"> et un permis d’urbanisme  Rapport d'incidences –</w:t>
      </w:r>
    </w:p>
    <w:p w14:paraId="233481A4" w14:textId="77777777" w:rsidR="00ED0787" w:rsidRDefault="006B3EB9" w:rsidP="00434315">
      <w:pPr>
        <w:numPr>
          <w:ilvl w:val="0"/>
          <w:numId w:val="3"/>
        </w:numPr>
        <w:spacing w:after="0" w:line="240" w:lineRule="auto"/>
      </w:pPr>
      <w:proofErr w:type="spellStart"/>
      <w:r>
        <w:t>l’art</w:t>
      </w:r>
      <w:proofErr w:type="spellEnd"/>
      <w:r>
        <w:t xml:space="preserve">. 175/20 - MPP - </w:t>
      </w:r>
      <w:proofErr w:type="spellStart"/>
      <w:r>
        <w:t>Enquête</w:t>
      </w:r>
      <w:proofErr w:type="spellEnd"/>
      <w:r>
        <w:t xml:space="preserve"> de 30 </w:t>
      </w:r>
      <w:proofErr w:type="spellStart"/>
      <w:r>
        <w:t>jours</w:t>
      </w:r>
      <w:proofErr w:type="spellEnd"/>
    </w:p>
    <w:p w14:paraId="233481A5" w14:textId="77777777" w:rsidR="00ED0787" w:rsidRPr="00CA01BD" w:rsidRDefault="006B3EB9" w:rsidP="00434315">
      <w:pPr>
        <w:spacing w:after="0" w:line="240" w:lineRule="auto"/>
        <w:rPr>
          <w:lang w:val="fr-BE"/>
        </w:rPr>
      </w:pPr>
      <w:r w:rsidRPr="00CA01BD">
        <w:rPr>
          <w:lang w:val="fr-BE"/>
        </w:rPr>
        <w:t>Considérant que la demande a été soumise aux mesures particulières de publicité ; que l’enquête publique organisée conjointement sur les communes de Saint-Josse-ten</w:t>
      </w:r>
      <w:r w:rsidRPr="00CA01BD">
        <w:rPr>
          <w:lang w:val="fr-BE"/>
        </w:rPr>
        <w:t>-Noode (principale) et Bruxelles (impactée) ,  s’est déroulée du 21/04/2025 au 20/05/2025 et qu’aucune  observation et/ou demande à être entendu n’a été introduite ;</w:t>
      </w:r>
    </w:p>
    <w:p w14:paraId="233481A6" w14:textId="77777777" w:rsidR="00ED0787" w:rsidRPr="00CA01BD" w:rsidRDefault="006B3EB9" w:rsidP="00434315">
      <w:pPr>
        <w:spacing w:after="0" w:line="240" w:lineRule="auto"/>
        <w:rPr>
          <w:lang w:val="fr-BE"/>
        </w:rPr>
      </w:pPr>
      <w:r w:rsidRPr="00CA01BD">
        <w:rPr>
          <w:lang w:val="fr-BE"/>
        </w:rPr>
        <w:t xml:space="preserve">Vu le permis d’urbanisme 20732 délivré par le Collège des Bourgmestre et Echevins en date </w:t>
      </w:r>
      <w:r w:rsidRPr="00CA01BD">
        <w:rPr>
          <w:lang w:val="fr-BE"/>
        </w:rPr>
        <w:t>du 17 octobre 2022, après avis favorable de la Commission de concertation, visant à transformer un immeuble de bureaux et modifier partiellement l’affectation du rez-de-chaussée en commerces ;</w:t>
      </w:r>
    </w:p>
    <w:p w14:paraId="233481A7" w14:textId="77777777" w:rsidR="00ED0787" w:rsidRPr="00CA01BD" w:rsidRDefault="006B3EB9" w:rsidP="00434315">
      <w:pPr>
        <w:spacing w:after="0" w:line="240" w:lineRule="auto"/>
        <w:rPr>
          <w:lang w:val="fr-BE"/>
        </w:rPr>
      </w:pPr>
      <w:r w:rsidRPr="00CA01BD">
        <w:rPr>
          <w:lang w:val="fr-BE"/>
        </w:rPr>
        <w:t>Vu les permis d’urbanisme 20841, délivré le 03/10/2023 par le C</w:t>
      </w:r>
      <w:r w:rsidRPr="00CA01BD">
        <w:rPr>
          <w:lang w:val="fr-BE"/>
        </w:rPr>
        <w:t>ollège des Bourgmestre et Echevins,  et 20908 délivré le 16/07/2024 par le Collège des Bourgmestre et Echevins visant à apporter des modifications mineures au projet ;</w:t>
      </w:r>
    </w:p>
    <w:p w14:paraId="233481A8" w14:textId="77777777" w:rsidR="00ED0787" w:rsidRPr="00CA01BD" w:rsidRDefault="006B3EB9" w:rsidP="00434315">
      <w:pPr>
        <w:spacing w:after="0" w:line="240" w:lineRule="auto"/>
        <w:rPr>
          <w:lang w:val="fr-BE"/>
        </w:rPr>
      </w:pPr>
      <w:r w:rsidRPr="00CA01BD">
        <w:rPr>
          <w:lang w:val="fr-BE"/>
        </w:rPr>
        <w:t xml:space="preserve">Considérant que la présente demande, en terme de permis d’urbanisme ne concerne que les </w:t>
      </w:r>
      <w:r w:rsidRPr="00CA01BD">
        <w:rPr>
          <w:lang w:val="fr-BE"/>
        </w:rPr>
        <w:t>forages en profondeur (167 et 211 m) , que ceux-ci se situent au dernier sous-sol (-2) et n’ont aucune incidence sur l’aspect architectural du bâtiment ;</w:t>
      </w:r>
    </w:p>
    <w:p w14:paraId="233481A9" w14:textId="77777777" w:rsidR="00ED0787" w:rsidRPr="00CA01BD" w:rsidRDefault="006B3EB9" w:rsidP="00434315">
      <w:pPr>
        <w:spacing w:after="0" w:line="240" w:lineRule="auto"/>
        <w:rPr>
          <w:lang w:val="fr-BE"/>
        </w:rPr>
      </w:pPr>
      <w:r w:rsidRPr="00CA01BD">
        <w:rPr>
          <w:lang w:val="fr-BE"/>
        </w:rPr>
        <w:t>Considérant que les autres modifications prévues, à savoir l’ajout d’une pompe à chaleur au -2, l’inst</w:t>
      </w:r>
      <w:r w:rsidRPr="00CA01BD">
        <w:rPr>
          <w:lang w:val="fr-BE"/>
        </w:rPr>
        <w:t xml:space="preserve">allation d’une toiture </w:t>
      </w:r>
      <w:proofErr w:type="spellStart"/>
      <w:r w:rsidRPr="00CA01BD">
        <w:rPr>
          <w:lang w:val="fr-BE"/>
        </w:rPr>
        <w:t>stockante</w:t>
      </w:r>
      <w:proofErr w:type="spellEnd"/>
      <w:r w:rsidRPr="00CA01BD">
        <w:rPr>
          <w:lang w:val="fr-BE"/>
        </w:rPr>
        <w:t xml:space="preserve"> sans modification de gabarit, l’installation d’un groupe électrogène  dans le volume technique existant en toiture et la modification de l’emplacement de certains panneaux photovoltaïques ne nécessitent pas de permis d’urba</w:t>
      </w:r>
      <w:r w:rsidRPr="00CA01BD">
        <w:rPr>
          <w:lang w:val="fr-BE"/>
        </w:rPr>
        <w:t>nisme ;</w:t>
      </w:r>
    </w:p>
    <w:p w14:paraId="233481AA" w14:textId="77777777" w:rsidR="00ED0787" w:rsidRPr="00CA01BD" w:rsidRDefault="006B3EB9" w:rsidP="00434315">
      <w:pPr>
        <w:spacing w:after="0" w:line="240" w:lineRule="auto"/>
        <w:rPr>
          <w:lang w:val="fr-BE"/>
        </w:rPr>
      </w:pPr>
      <w:r w:rsidRPr="00CA01BD">
        <w:rPr>
          <w:lang w:val="fr-BE"/>
        </w:rPr>
        <w:t>Vu le permis d’environnement PE/1037/PLP440 délivré par Bruxelles Environnement en date du 18/05/2021 visant à exploiter des installations techniques pour un immeuble de bureaux ;</w:t>
      </w:r>
    </w:p>
    <w:p w14:paraId="233481AB" w14:textId="77777777" w:rsidR="00ED0787" w:rsidRPr="00CA01BD" w:rsidRDefault="006B3EB9" w:rsidP="00434315">
      <w:pPr>
        <w:spacing w:after="0" w:line="240" w:lineRule="auto"/>
        <w:rPr>
          <w:lang w:val="fr-BE"/>
        </w:rPr>
      </w:pPr>
      <w:r w:rsidRPr="00CA01BD">
        <w:rPr>
          <w:lang w:val="fr-BE"/>
        </w:rPr>
        <w:t>Vu les deux demandes de permis d’environnement PE/1037/MOD2 et PE/10</w:t>
      </w:r>
      <w:r w:rsidRPr="00CA01BD">
        <w:rPr>
          <w:lang w:val="fr-BE"/>
        </w:rPr>
        <w:t>37/MOD3 délivrés par Bruxelles Environnement en date du 06/09/2022 et du 23/11/2022 visant à transformer un immeuble de bureaux en immeubles de bureaux accueillant des espaces commerciaux et à modifier des conditions particulières relatives à la sécurité i</w:t>
      </w:r>
      <w:r w:rsidRPr="00CA01BD">
        <w:rPr>
          <w:lang w:val="fr-BE"/>
        </w:rPr>
        <w:t>ncendie et aux conditions relatives aux parking couvert ;</w:t>
      </w:r>
    </w:p>
    <w:p w14:paraId="233481AC" w14:textId="77777777" w:rsidR="00ED0787" w:rsidRPr="00CA01BD" w:rsidRDefault="006B3EB9" w:rsidP="00434315">
      <w:pPr>
        <w:spacing w:after="0" w:line="240" w:lineRule="auto"/>
        <w:rPr>
          <w:lang w:val="fr-BE"/>
        </w:rPr>
      </w:pPr>
      <w:r w:rsidRPr="00CA01BD">
        <w:rPr>
          <w:lang w:val="fr-BE"/>
        </w:rPr>
        <w:br/>
        <w:t>Considérant qu’au niveau du permis d’environnement, qu’il s’agit d’une nouvelle de demande afin d’exploiter un système géothermie ouverte avec une pompe à chaleur eau/eau et d’une modification au n</w:t>
      </w:r>
      <w:r w:rsidRPr="00CA01BD">
        <w:rPr>
          <w:lang w:val="fr-BE"/>
        </w:rPr>
        <w:t xml:space="preserve">iveau de la gestion des eaux pluviales (suppression d'un bassin d'orage et ajout de toitures </w:t>
      </w:r>
      <w:proofErr w:type="spellStart"/>
      <w:r w:rsidRPr="00CA01BD">
        <w:rPr>
          <w:lang w:val="fr-BE"/>
        </w:rPr>
        <w:t>stockantes</w:t>
      </w:r>
      <w:proofErr w:type="spellEnd"/>
      <w:r w:rsidRPr="00CA01BD">
        <w:rPr>
          <w:lang w:val="fr-BE"/>
        </w:rPr>
        <w:t>) et de la pompe à chaleur air/eau (diminution de la puissance globale);</w:t>
      </w:r>
    </w:p>
    <w:p w14:paraId="233481AD" w14:textId="77777777" w:rsidR="00ED0787" w:rsidRPr="00CA01BD" w:rsidRDefault="006B3EB9" w:rsidP="00434315">
      <w:pPr>
        <w:spacing w:after="0" w:line="240" w:lineRule="auto"/>
        <w:rPr>
          <w:lang w:val="fr-BE"/>
        </w:rPr>
      </w:pPr>
      <w:r w:rsidRPr="00CA01BD">
        <w:rPr>
          <w:lang w:val="fr-BE"/>
        </w:rPr>
        <w:t xml:space="preserve">Considérant que l’ensemble de ces demandes sont donc inclues dans la demande de </w:t>
      </w:r>
      <w:r w:rsidRPr="00CA01BD">
        <w:rPr>
          <w:lang w:val="fr-BE"/>
        </w:rPr>
        <w:t>permis extensif du permis n°1735932 valide jusqu’au 16/06/2036 ;</w:t>
      </w:r>
    </w:p>
    <w:p w14:paraId="233481AE" w14:textId="77777777" w:rsidR="00ED0787" w:rsidRPr="00CA01BD" w:rsidRDefault="006B3EB9" w:rsidP="00434315">
      <w:pPr>
        <w:spacing w:after="0" w:line="240" w:lineRule="auto"/>
        <w:rPr>
          <w:lang w:val="fr-BE"/>
        </w:rPr>
      </w:pPr>
      <w:r w:rsidRPr="00CA01BD">
        <w:rPr>
          <w:lang w:val="fr-BE"/>
        </w:rPr>
        <w:lastRenderedPageBreak/>
        <w:t>Considérant que le projet prévoit le déploiement d’un système de géothermie ouverte composé d’un doublet (un puits de captage et de réinjection dans l’aquifère du Socle Paléozoïque), que le d</w:t>
      </w:r>
      <w:r w:rsidRPr="00CA01BD">
        <w:rPr>
          <w:lang w:val="fr-BE"/>
        </w:rPr>
        <w:t>oublet est déjà existant et avait fait l’objet de pompages d’essais autorisés par la décision n°1922790 délivrée el 05/12/2023 ;</w:t>
      </w:r>
    </w:p>
    <w:p w14:paraId="233481AF" w14:textId="77777777" w:rsidR="00ED0787" w:rsidRPr="00CA01BD" w:rsidRDefault="006B3EB9" w:rsidP="00434315">
      <w:pPr>
        <w:spacing w:after="0" w:line="240" w:lineRule="auto"/>
        <w:rPr>
          <w:lang w:val="fr-BE"/>
        </w:rPr>
      </w:pPr>
      <w:r w:rsidRPr="00CA01BD">
        <w:rPr>
          <w:lang w:val="fr-BE"/>
        </w:rPr>
        <w:t xml:space="preserve">Considérant en outre qu’il est prévu de déplacer le générateur de secours de l’intérieur vers la toiture extérieur du R+11 (à </w:t>
      </w:r>
      <w:r w:rsidRPr="00CA01BD">
        <w:rPr>
          <w:lang w:val="fr-BE"/>
        </w:rPr>
        <w:t>la place d’une pompe à chaleur air/eau) et que les locaux Data et HT sont inversés tout en restant au niveau -1 ;</w:t>
      </w:r>
    </w:p>
    <w:p w14:paraId="233481B0" w14:textId="77777777" w:rsidR="00ED0787" w:rsidRPr="00CA01BD" w:rsidRDefault="006B3EB9" w:rsidP="00434315">
      <w:pPr>
        <w:spacing w:after="0" w:line="240" w:lineRule="auto"/>
        <w:rPr>
          <w:lang w:val="fr-BE"/>
        </w:rPr>
      </w:pPr>
      <w:r w:rsidRPr="00CA01BD">
        <w:rPr>
          <w:lang w:val="fr-BE"/>
        </w:rPr>
        <w:t>Considérant que cette localisation permettra de réduire les risques de nuisances acoustiques pour les riverains ;</w:t>
      </w:r>
    </w:p>
    <w:p w14:paraId="233481B1" w14:textId="77777777" w:rsidR="00ED0787" w:rsidRPr="00CA01BD" w:rsidRDefault="006B3EB9" w:rsidP="00434315">
      <w:pPr>
        <w:spacing w:after="0" w:line="240" w:lineRule="auto"/>
        <w:rPr>
          <w:lang w:val="fr-BE"/>
        </w:rPr>
      </w:pPr>
      <w:r w:rsidRPr="00CA01BD">
        <w:rPr>
          <w:lang w:val="fr-BE"/>
        </w:rPr>
        <w:t>Considérant que la pompe à c</w:t>
      </w:r>
      <w:r w:rsidRPr="00CA01BD">
        <w:rPr>
          <w:lang w:val="fr-BE"/>
        </w:rPr>
        <w:t>haleur air-eau située en toiture sera remplacée par une autre pompe à chaleur moins puissante ;</w:t>
      </w:r>
    </w:p>
    <w:p w14:paraId="233481B2" w14:textId="77777777" w:rsidR="00ED0787" w:rsidRPr="00CA01BD" w:rsidRDefault="006B3EB9" w:rsidP="00434315">
      <w:pPr>
        <w:spacing w:after="0" w:line="240" w:lineRule="auto"/>
        <w:rPr>
          <w:lang w:val="fr-BE"/>
        </w:rPr>
      </w:pPr>
      <w:r w:rsidRPr="00CA01BD">
        <w:rPr>
          <w:lang w:val="fr-BE"/>
        </w:rPr>
        <w:t>Considérant que cette pompe à chaleur sera moins bruyante que la précédente;</w:t>
      </w:r>
    </w:p>
    <w:p w14:paraId="233481B3" w14:textId="77777777" w:rsidR="00ED0787" w:rsidRPr="00CA01BD" w:rsidRDefault="006B3EB9" w:rsidP="00434315">
      <w:pPr>
        <w:spacing w:after="0" w:line="240" w:lineRule="auto"/>
        <w:rPr>
          <w:lang w:val="fr-BE"/>
        </w:rPr>
      </w:pPr>
      <w:r w:rsidRPr="00CA01BD">
        <w:rPr>
          <w:lang w:val="fr-BE"/>
        </w:rPr>
        <w:t>Considérant que le niveau sonore du générateur de secours est significativement inf</w:t>
      </w:r>
      <w:r w:rsidRPr="00CA01BD">
        <w:rPr>
          <w:lang w:val="fr-BE"/>
        </w:rPr>
        <w:t>érieur à celui des pompes à chaleur ;</w:t>
      </w:r>
    </w:p>
    <w:p w14:paraId="233481B4" w14:textId="77777777" w:rsidR="00ED0787" w:rsidRPr="00CA01BD" w:rsidRDefault="006B3EB9" w:rsidP="00434315">
      <w:pPr>
        <w:spacing w:after="0" w:line="240" w:lineRule="auto"/>
        <w:rPr>
          <w:lang w:val="fr-BE"/>
        </w:rPr>
      </w:pPr>
      <w:r w:rsidRPr="00CA01BD">
        <w:rPr>
          <w:lang w:val="fr-BE"/>
        </w:rPr>
        <w:t>Considérant que le Boulevard du Roi Albert II est une voie de circulation bruyante ;</w:t>
      </w:r>
    </w:p>
    <w:p w14:paraId="233481B5" w14:textId="77777777" w:rsidR="00ED0787" w:rsidRPr="00CA01BD" w:rsidRDefault="006B3EB9" w:rsidP="00434315">
      <w:pPr>
        <w:spacing w:after="0" w:line="240" w:lineRule="auto"/>
        <w:rPr>
          <w:lang w:val="fr-BE"/>
        </w:rPr>
      </w:pPr>
      <w:r w:rsidRPr="00CA01BD">
        <w:rPr>
          <w:lang w:val="fr-BE"/>
        </w:rPr>
        <w:t>Considérant que le système de géothermie pourra fonctionner complémentairement à celui de la pompe à chaleur air-eau ;</w:t>
      </w:r>
    </w:p>
    <w:p w14:paraId="233481B6" w14:textId="77777777" w:rsidR="00ED0787" w:rsidRPr="00CA01BD" w:rsidRDefault="006B3EB9" w:rsidP="00434315">
      <w:pPr>
        <w:spacing w:after="0" w:line="240" w:lineRule="auto"/>
        <w:rPr>
          <w:lang w:val="fr-BE"/>
        </w:rPr>
      </w:pPr>
      <w:r w:rsidRPr="00CA01BD">
        <w:rPr>
          <w:lang w:val="fr-BE"/>
        </w:rPr>
        <w:t>Considérant qu</w:t>
      </w:r>
      <w:r w:rsidRPr="00CA01BD">
        <w:rPr>
          <w:lang w:val="fr-BE"/>
        </w:rPr>
        <w:t>e le système géothermique permettra de réduire l’utilisation des énergies fossiles indirectes via une baisse d’utilisation de l’électricité ;</w:t>
      </w:r>
    </w:p>
    <w:p w14:paraId="233481B7" w14:textId="77777777" w:rsidR="00ED0787" w:rsidRPr="00CA01BD" w:rsidRDefault="006B3EB9" w:rsidP="00434315">
      <w:pPr>
        <w:spacing w:after="0" w:line="240" w:lineRule="auto"/>
        <w:rPr>
          <w:lang w:val="fr-BE"/>
        </w:rPr>
      </w:pPr>
      <w:r w:rsidRPr="00CA01BD">
        <w:rPr>
          <w:lang w:val="fr-BE"/>
        </w:rPr>
        <w:t xml:space="preserve">Considérant qu’en matière de gestion des eaux pluviales, la situation projetée améliore la situation avec l’ajout </w:t>
      </w:r>
      <w:r w:rsidRPr="00CA01BD">
        <w:rPr>
          <w:lang w:val="fr-BE"/>
        </w:rPr>
        <w:t xml:space="preserve">de toitures </w:t>
      </w:r>
      <w:proofErr w:type="spellStart"/>
      <w:r w:rsidRPr="00CA01BD">
        <w:rPr>
          <w:lang w:val="fr-BE"/>
        </w:rPr>
        <w:t>stockantes</w:t>
      </w:r>
      <w:proofErr w:type="spellEnd"/>
      <w:r w:rsidRPr="00CA01BD">
        <w:rPr>
          <w:lang w:val="fr-BE"/>
        </w:rPr>
        <w:t xml:space="preserve"> permettant une rétention de 142 m³ à la place d’un bassin d’orage de 120 m³;</w:t>
      </w:r>
    </w:p>
    <w:p w14:paraId="233481B8" w14:textId="77777777" w:rsidR="00ED0787" w:rsidRPr="00CA01BD" w:rsidRDefault="006B3EB9" w:rsidP="00434315">
      <w:pPr>
        <w:spacing w:after="0" w:line="240" w:lineRule="auto"/>
        <w:rPr>
          <w:lang w:val="fr-BE"/>
        </w:rPr>
      </w:pPr>
      <w:r w:rsidRPr="00CA01BD">
        <w:rPr>
          <w:lang w:val="fr-BE"/>
        </w:rPr>
        <w:t xml:space="preserve">Considérant que la toiture </w:t>
      </w:r>
      <w:proofErr w:type="spellStart"/>
      <w:r w:rsidRPr="00CA01BD">
        <w:rPr>
          <w:lang w:val="fr-BE"/>
        </w:rPr>
        <w:t>stockante</w:t>
      </w:r>
      <w:proofErr w:type="spellEnd"/>
      <w:r w:rsidRPr="00CA01BD">
        <w:rPr>
          <w:lang w:val="fr-BE"/>
        </w:rPr>
        <w:t xml:space="preserve"> permet de réduire la consommation énergétique du bâtiment grâce à l’amélioration de l’isolation thermique ;</w:t>
      </w:r>
    </w:p>
    <w:p w14:paraId="233481B9" w14:textId="77777777" w:rsidR="00ED0787" w:rsidRPr="00CA01BD" w:rsidRDefault="006B3EB9" w:rsidP="00434315">
      <w:pPr>
        <w:spacing w:after="0" w:line="240" w:lineRule="auto"/>
        <w:rPr>
          <w:lang w:val="fr-BE"/>
        </w:rPr>
      </w:pPr>
      <w:r w:rsidRPr="00CA01BD">
        <w:rPr>
          <w:lang w:val="fr-BE"/>
        </w:rPr>
        <w:t>Vu l’absenc</w:t>
      </w:r>
      <w:r w:rsidRPr="00CA01BD">
        <w:rPr>
          <w:lang w:val="fr-BE"/>
        </w:rPr>
        <w:t>e de modification des emplacements voitures et vélos ;</w:t>
      </w:r>
    </w:p>
    <w:p w14:paraId="233481BA" w14:textId="77777777" w:rsidR="00ED0787" w:rsidRPr="00CA01BD" w:rsidRDefault="006B3EB9" w:rsidP="00434315">
      <w:pPr>
        <w:spacing w:after="0" w:line="240" w:lineRule="auto"/>
        <w:rPr>
          <w:lang w:val="fr-BE"/>
        </w:rPr>
      </w:pPr>
      <w:r w:rsidRPr="00CA01BD">
        <w:rPr>
          <w:lang w:val="fr-BE"/>
        </w:rPr>
        <w:t>Considérant, en termes de circulation, que la présente demande n’a aucun impact sur la mobilité ;</w:t>
      </w:r>
    </w:p>
    <w:p w14:paraId="233481BB" w14:textId="77777777" w:rsidR="00ED0787" w:rsidRPr="00CA01BD" w:rsidRDefault="006B3EB9" w:rsidP="00434315">
      <w:pPr>
        <w:spacing w:after="0" w:line="240" w:lineRule="auto"/>
        <w:rPr>
          <w:lang w:val="fr-BE"/>
        </w:rPr>
      </w:pPr>
      <w:r w:rsidRPr="00CA01BD">
        <w:rPr>
          <w:lang w:val="fr-BE"/>
        </w:rPr>
        <w:t>Considérant que le projet d’extension du permis d’environnement n’a pas d’incidences en termes de quali</w:t>
      </w:r>
      <w:r w:rsidRPr="00CA01BD">
        <w:rPr>
          <w:lang w:val="fr-BE"/>
        </w:rPr>
        <w:t>té de l’air ;</w:t>
      </w:r>
    </w:p>
    <w:p w14:paraId="233481BC" w14:textId="77777777" w:rsidR="00ED0787" w:rsidRPr="00CA01BD" w:rsidRDefault="006B3EB9" w:rsidP="00434315">
      <w:pPr>
        <w:spacing w:after="0" w:line="240" w:lineRule="auto"/>
        <w:rPr>
          <w:lang w:val="fr-BE"/>
        </w:rPr>
      </w:pPr>
      <w:r w:rsidRPr="00CA01BD">
        <w:rPr>
          <w:lang w:val="fr-BE"/>
        </w:rPr>
        <w:t xml:space="preserve"> </w:t>
      </w:r>
    </w:p>
    <w:p w14:paraId="233481BD" w14:textId="77777777" w:rsidR="00110EB8" w:rsidRPr="00A120AD" w:rsidRDefault="00110EB8" w:rsidP="00434315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233481BE" w14:textId="77777777" w:rsidR="00110EB8" w:rsidRPr="00A120AD" w:rsidRDefault="00110EB8" w:rsidP="00434315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Favorable (unanime)</w:t>
      </w:r>
    </w:p>
    <w:p w14:paraId="233481BF" w14:textId="77777777" w:rsidR="00110EB8" w:rsidRPr="00A120AD" w:rsidRDefault="00110EB8" w:rsidP="00434315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233481C3" w14:textId="3C099616" w:rsidR="00110EB8" w:rsidRPr="00A120AD" w:rsidRDefault="00110EB8" w:rsidP="00434315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481C6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233481C7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481CA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481CB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481CD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481C4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233481C5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481C8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481C9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481CC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315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3EB9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1BD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787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8197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932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2025-05-27T09:06:00Z</cp:lastPrinted>
  <dcterms:created xsi:type="dcterms:W3CDTF">2025-05-27T09:20:00Z</dcterms:created>
  <dcterms:modified xsi:type="dcterms:W3CDTF">2025-05-27T09:20:00Z</dcterms:modified>
</cp:coreProperties>
</file>